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85"/>
        <w:gridCol w:w="2023"/>
        <w:gridCol w:w="7513"/>
        <w:tblGridChange w:id="0">
          <w:tblGrid>
            <w:gridCol w:w="5485"/>
            <w:gridCol w:w="2023"/>
            <w:gridCol w:w="7513"/>
          </w:tblGrid>
        </w:tblGridChange>
      </w:tblGrid>
      <w:tr>
        <w:trPr>
          <w:cantSplit w:val="0"/>
          <w:trHeight w:val="425" w:hRule="atLeast"/>
          <w:tblHeader w:val="1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1225"/>
              </w:tabs>
              <w:spacing w:after="120"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SEKSYEN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I/MyRA II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DOKUMEN BUKTI YANG DIPERLUKAN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55"/>
              </w:tabs>
              <w:spacing w:after="12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A1: Total Number of Academic Staff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B2 : Total Number of Staff with PhD or Professional Qualification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B3 : Research Experience (3 cohorts)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Lantikan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Sijil Master/PhD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Sijil Profesional</w:t>
            </w:r>
          </w:p>
          <w:p w:rsidR="00000000" w:rsidDel="00000000" w:rsidP="00000000" w:rsidRDefault="00000000" w:rsidRPr="00000000" w14:paraId="0000000E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(online)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digunapakai oleh institusi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fail peribadi staf dalam bentuk</w:t>
            </w:r>
            <w:r w:rsidDel="00000000" w:rsidR="00000000" w:rsidRPr="00000000">
              <w:rPr>
                <w:color w:val="0066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disimpan oleh institusi.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10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sokongan boleh digunasama untuk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Seksyen B2 dan B3.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A2 : Total number of fulltime students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D1 : Number of PhDs graduated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D2 : Number of Masters graduated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D3 : Number of PhDs enrolled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D5 : Number of International Postgraduates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D6 : Number of excellent Postgraduate that choose this university to continue their Postgraduate studies in Research Mode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D7 : Number of fellowships/grants awarded by to Postgraduates via Research Mode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tawaran dan bukti pendaftaran.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Surat/petikan minit kelulusan Senat/buku konvokesyen atau graduasi.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penaja untuk biasiswa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Fellowship).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Transkrip Ijazah/Sarjana Muda yang menunjukkan CGPA atau setara dengannya.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Kaedah kesetaraan CGPA yang diperakui oleh Senat.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Transkrip Ijazah Sarjana yang diiktiraf.</w:t>
            </w:r>
          </w:p>
          <w:p w:rsidR="00000000" w:rsidDel="00000000" w:rsidP="00000000" w:rsidRDefault="00000000" w:rsidRPr="00000000" w14:paraId="00000020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(online)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digunapakai oleh institusi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disimpan oleh institusi.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22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digunasama untuk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Seksyen D1 – D7.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B1 : Critical Mass (Principal Investigators /Project Leader)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C2 : Research grants for academic staff (RM)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26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="276" w:lineRule="auto"/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Geran Penyelidikan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tawaran/perjanjian penaja.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Penyata kewangan.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Projek Perundingan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Perjanjian projek perundingan.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 yang diterima daripada pemegang taruh perundingan. </w:t>
            </w:r>
          </w:p>
          <w:p w:rsidR="00000000" w:rsidDel="00000000" w:rsidP="00000000" w:rsidRDefault="00000000" w:rsidRPr="00000000" w14:paraId="0000002D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(online)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digunapakai oleh institusi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disimpan oleh institusi.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digunasama untuk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Seksyen C2.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C3 : Monitoring of Research Project Performance/Progress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tawaran/perjanjian penaja.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Penyata kewangan.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pelanjutan projek.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Laporan akhir projek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ATAU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Surat pengesahan tamat projek.</w:t>
            </w:r>
          </w:p>
          <w:p w:rsidR="00000000" w:rsidDel="00000000" w:rsidP="00000000" w:rsidRDefault="00000000" w:rsidRPr="00000000" w14:paraId="00000036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online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yang digunapakai oleh institusi ATAU salinan hardcopy/softcopy yang </w:t>
            </w:r>
          </w:p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disimpan oleh institusi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B4 : Awards/stewardships conferred by National and International academic and professional bodies for research excellence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3A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Salinan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atau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sijil yang dianugerahkan; atau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pelantikan pengiktirafan.</w:t>
            </w:r>
          </w:p>
          <w:p w:rsidR="00000000" w:rsidDel="00000000" w:rsidP="00000000" w:rsidRDefault="00000000" w:rsidRPr="00000000" w14:paraId="0000003D">
            <w:pPr>
              <w:spacing w:after="12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(online)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digunapakai oleh institusi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disimpan oleh institusi.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(a) (i) : Total number of publications in SCOPUS/WOS/ERA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indexed  journals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(a) (ii) : Total number of publications in SCOPUS/WOS/ERA indexed  conference proceedings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Maklumat bibliografi.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Salinan penerbitan.</w:t>
            </w:r>
          </w:p>
          <w:p w:rsidR="00000000" w:rsidDel="00000000" w:rsidP="00000000" w:rsidRDefault="00000000" w:rsidRPr="00000000" w14:paraId="00000045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Untuk penerbitan yang diindekskan dalam SCOPUS/WOS, dokumen boleh disediakan berdasarkan laporan yang dijana dari sistem SCOPUS/WOS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artikel tersebut perlu disediakan.</w:t>
            </w:r>
          </w:p>
          <w:p w:rsidR="00000000" w:rsidDel="00000000" w:rsidP="00000000" w:rsidRDefault="00000000" w:rsidRPr="00000000" w14:paraId="00000046">
            <w:pPr>
              <w:spacing w:after="12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Bukti penerbitan artikel dalam bentuk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sekurang-kurangnya mempunyai muka surat pertama yang menunjukkan afiliasi institusi dan maklumat lain seperti yang dinyatakan dalam Masterlist.</w:t>
            </w:r>
          </w:p>
        </w:tc>
      </w:tr>
      <w:tr>
        <w:trPr>
          <w:cantSplit w:val="0"/>
          <w:trHeight w:val="31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(a) (iii) : Joint Publications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Maklumat dari Scival ATAU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Melengkapkan maklumat di dalam Masterlist.</w:t>
            </w:r>
          </w:p>
          <w:p w:rsidR="00000000" w:rsidDel="00000000" w:rsidP="00000000" w:rsidRDefault="00000000" w:rsidRPr="00000000" w14:paraId="0000004D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Bukti penerbitan artikel dalam bentuk hardcopy/softcopy sekurang-kurangnya mempunyai muka surat pertama yang menunjukkan afiliasi institusi dan kolaborator.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(c) : Total number of publication in MyCite indexed journals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Untuk penerbitan yang diindekskan dalam MyCite, dokumen boleh disediakan berdasarkan laporan yang dijana dari sistem MyCite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artikel tersebut perlu disediakan.</w:t>
            </w:r>
          </w:p>
          <w:p w:rsidR="00000000" w:rsidDel="00000000" w:rsidP="00000000" w:rsidRDefault="00000000" w:rsidRPr="00000000" w14:paraId="00000053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Bukti penerbitan artikel dalam bentuk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sekurang-kurangnya mempunyai muka surat pertama yang menunjukkan afiliasi institusi dan maklumat lain seperti yang dinyatakan dalam Masterlist.</w:t>
            </w:r>
          </w:p>
        </w:tc>
      </w:tr>
      <w:tr>
        <w:trPr>
          <w:cantSplit w:val="0"/>
          <w:trHeight w:val="121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(d) : Policy papers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kertas polisi,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blueprint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roadmap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atau pelan induk yang diterbitkan oleh pemegang taruh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stakeholders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perlu dikemukakan.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lantikan staf menjadi ketua/ahli projek kajian</w:t>
            </w:r>
          </w:p>
        </w:tc>
      </w:tr>
      <w:tr>
        <w:trPr>
          <w:cantSplit w:val="0"/>
          <w:trHeight w:val="147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(e) : Number of case studies/ technical reports/standards published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sokongan yang diperlukan adalah seperti berikut: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Laporan kes/Laporan teknikal yang diterbitkan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lantikan staf menjadi ketua/ahli projek kajian.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laporan telah diterima oleh pemegang taruh.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(f) (i) : Number of research books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(f) (i) 1 : Number of research books indexed in SCOPUS/WOS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(f) (i) 2 : Number of non-indexed research books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Salinan muka surat pertama yang menunjukkan afiliasi institusi yang jelas dan maklumat lain seperti yang dinyatakan dalam Masterlist.</w:t>
            </w:r>
          </w:p>
          <w:p w:rsidR="00000000" w:rsidDel="00000000" w:rsidP="00000000" w:rsidRDefault="00000000" w:rsidRPr="00000000" w14:paraId="00000069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(online) yang digunapakai oleh institusi ATAU salinan hardcopy/softcopy yang disimpan oleh institusi.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Untuk buku penyelidikan yang diindekskan dalam SCOPUS/WOS, bukti boleh disediakan berdasarkan laporan yang dijana dari sistem SCOPUS/WOS ATAU salinan hardcopy/softcopy buku tersebut perlu disediakan.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Selain itu, bukti penerbitan buku dalam bentuk hardcopy/softcopy sekurang-kurangnya mempunyai muka surat yang menunjukkan maklumat seperti tajuk, penulis, penerbit, tahun diterbitkan, muka hadapan, isi kandungan, pra-kata, ISBN, indeks dan hak cipta.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Untuk buku penyelidikan tidak berindeks sitasi, salinan muka surat pertama yang menunjukkan afiliasi institusi yang jelas dan maklumat lain seperti yang dinyatakan dalam Masterlist.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Selain itu, bukti penerbitan buku dalam bentuk hardcopy/softcopy sekurang-kurangnya mempunyai muka surat yang menunjukkan maklumat seperti tajuk, penulis, penerbit, tahun diterbitkan, muka hadapan, isi kandungan, pra-kata, ISBN, indeks dan hak cipta.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Maklumat bibliografi.</w:t>
            </w:r>
          </w:p>
          <w:p w:rsidR="00000000" w:rsidDel="00000000" w:rsidP="00000000" w:rsidRDefault="00000000" w:rsidRPr="00000000" w14:paraId="0000006F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(online) yang digunapakai oleh institusi ATAU salinan hardcopy/softcopy yang</w:t>
            </w:r>
          </w:p>
          <w:p w:rsidR="00000000" w:rsidDel="00000000" w:rsidP="00000000" w:rsidRDefault="00000000" w:rsidRPr="00000000" w14:paraId="00000070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disimpan oleh institusi.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(f) (ii) : Number of chapters in research books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(f) (ii) 1 : Number of chapters in research books indexed in SCOPUS/WOS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(f) (i) 2 : Number of chapters in non-indexed research books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Untuk bab dalam buku yang diindekskan dalam SCOPUS/WOS, bukti boleh disediakan berdasarkan laporan yang dijana dari sistem SCOPUS/WOS ATAU salinan hardcopy/softcopy bab dalam buku tersebut perlu disediakan.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Selain itu, bukti penerbitan bab dalam buku dalam bentuk hardcopy/softcopy sekurang-kurangnya mempunyai muka surat yang menunjukkan maklumat seperti yang dinyatakan dalam Masterlist.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Untuk bab dalam buku penyelidikan tidak berindeks sitasi, salinan muka surat pertama yang menunjukkan afiliasi institusi yang jelas dan maklumat lain seperti yang dinyatakan dalam Masterlist.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Selain itu, bukti penerbitan buku dalam bentuk hardcopy/softcopy sekurang-kurangnya mempunyai muka surat yang menunjukkan maklumat seperti tajuk, penulis, penerbit, tahun diterbitkan, muka hadapan, isi kandungan, pra-kata, ISBN, indeks dan hak cipta.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: Publications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C1 (g) : Other publications (Non-indexed journals, articles in magazines, newsletters, original writings, and publications from conferences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Salinan muka surat pertama yang menunjukkan afiliasi institusi yang jelas dan maklumat lain seperti yang dinyatakan dalam Masterlist.</w:t>
            </w:r>
          </w:p>
          <w:p w:rsidR="00000000" w:rsidDel="00000000" w:rsidP="00000000" w:rsidRDefault="00000000" w:rsidRPr="00000000" w14:paraId="00000080">
            <w:pPr>
              <w:spacing w:after="16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(online) yang digunapakai oleh institusi ATAU salinan hardcopy/softcopy yang disimpan oleh institusi.</w:t>
            </w:r>
          </w:p>
        </w:tc>
      </w:tr>
      <w:tr>
        <w:trPr>
          <w:cantSplit w:val="0"/>
          <w:trHeight w:val="513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D8 : Postdoctoral appointments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 Pasca Doktoral.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tawaran dan lantikan.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Sijil PhD.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Pelanjutan lantikan (sekiranya ada)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Rekod lapor diri.</w:t>
            </w:r>
          </w:p>
          <w:p w:rsidR="00000000" w:rsidDel="00000000" w:rsidP="00000000" w:rsidRDefault="00000000" w:rsidRPr="00000000" w14:paraId="00000089">
            <w:pPr>
              <w:spacing w:after="16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boleh disediakan dalam bentuk sistem atas talian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(online)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digunapakai oleh institusi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hardcopy/softcopy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yang disimpan oleh institusi.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E1 : Patent/Utility Innovation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E1 (a) : Total number of new certificates of patent/utility innovation granted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E1 (b) : Total number of new certificates of patent/utility innovation filed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E1 (c) : Unique number of patent/utility innovation granted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E1 (d) : Unique number of patent/utility innovation filed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Sijil pendaftaran yang diperolehi daripada agensi berkuasa seperti MyIPO.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dokumen yang menunjukkan institusi mempunyai hakmilik bersama/sepenuhnya ke atas paten/pembaharuan utiliti.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alih bahasa sekiranya sijil bukan dalam Bahasa Melayu/Bahasa Inggeris.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Butiran pembuktian yang sama digunakan untuk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Seksyen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E1 (a) – E1 (d).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E2 : Commercialized products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E2 (a) : Total number of new commercialized products for the market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perjanjian pelesenan.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penjanaan pendapatan produk yang dikomersialkan dari syarikat yang mengkomersialkan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pelantikan syarikat/agen yang menjual produk yang dikomersialkan.</w:t>
            </w:r>
          </w:p>
        </w:tc>
      </w:tr>
      <w:tr>
        <w:trPr>
          <w:cantSplit w:val="0"/>
          <w:trHeight w:val="1924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E2 : Commercialized products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E2 (b) : Total number of innovations consistently developed into commercialized products for the market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perjanjian pelesenan.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penjanaan pendapatan produk yang dikomersialkan dari syarikat yang mengkomersialkan dalam tempoh 3 tahun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Surat pelantikan syarikat/agen yang menjual produk yang dikomersialkan.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E3 : Technology or know-how licensing/sold outright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perjanjian pelesenan.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E4 : Other Intellectual Properties (Other than patents, commercialized products, technology or know-how and books declared in Section C)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sokongan yang diperlukan adalah seperti berikut: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Sijil pendaftaran hakcipta daripada agensi yang berkuasa seperti MyIPO atau badan antarabangsa yang setaraf.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urustadbir harta intelek untuk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Trade secret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E5 : Start-up/Spin-off companies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E5 (a) : Total number of active start-up/spin-off companies that commercialized university innovations in the year of assessment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Jumlah syarikat baharu yang mengkomersialkan inovasi penyelidikan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(rujuk pendaftaran syarikat dan perjanjian teknologi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know-how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5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sokongan yang diperlukan adalah seperti berikut: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 pendaftaran Suruhanjaya Syarikat Malaysia (SSM) (Form 9).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Laporan jualan produk dalam tempoh 3 tahun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perjanjian pelesenan</w:t>
            </w:r>
          </w:p>
        </w:tc>
      </w:tr>
      <w:tr>
        <w:trPr>
          <w:cantSplit w:val="0"/>
          <w:trHeight w:val="463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E5 : Start-up/Spin-off companies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E5 (b) : Total number of new start-up/spin-off companies that commercialized university innovations in the year of assessment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Jumlah syarikat baharu yang mengkomersialkan inovasi penyelidikan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(rujuk pendaftaran syarikat dan perjanjian teknologi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know-how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E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sokongan yang diperlukan adalah seperti berikut: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 pendaftaran Suruhanjaya Syarikat Malaysia (SSM) (Form 9).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Laporan jualan produk pada tahun dinilai.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perjanjian pelesenan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 : Professional Services And Gifts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12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 Umum:</w:t>
            </w:r>
          </w:p>
          <w:p w:rsidR="00000000" w:rsidDel="00000000" w:rsidP="00000000" w:rsidRDefault="00000000" w:rsidRPr="00000000" w14:paraId="000000C5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*Bukti invois tidak boleh diterima sebagai bukti transaksi kewangan.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F1 : Total gross income from organizing training courses (non-Degree programme), conferences, seminars, knowledge-sharing programmes and Postgraduate fees from R&amp;D (RM)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F1 (a) : Total gross income from organizing trainings courses (non-Degree programme), conferences, seminars, and knowledge-sharing programmes in the field of expertise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 perincian kursus/latihan (program bukan Ijazah),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persidangan, seminar dan program perkongsian ilmu yang dianjurkan.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 yang diterima daripada aktiviti penyelidikan melalui kursus/latihan (program bukan Ijazah),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persidangan, seminar dan program perkongsian ilmu yang dianjurkan.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F1 : Total gross income from organizing training courses (non-Degree programme), conferences, seminars, knowledge-sharing programmes and Postgraduate fees from R&amp;D (RM)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F1 (b) : Postgraduate's fees from research programmes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 perincian Yuran Pasca Siswazah yang menunjukkan mod penyelidikan / Mix-mode.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 yang diterima daripada yuran Pasca Siswazah.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F2 : Total gross income from product commercialization/technology or know-how licensing/outright sale (RM)</w:t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 perincian aktiviti pengkomersialan/perlesenan teknologi pengetahuan/jualan terus yang dijalankan.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 yang diterima daripada aktiviti pengkomersialan/perlesenan teknologi pengetahuan/jualan terus berkenaan.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F3 : Total gross income from hospital/lab services fees in the year of assessment (RM)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F3 (a) : Gross income from hospital</w:t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 perincian bayaran perkhidmatan kepada pakar-pakar perubatan hospital yang disenaraikan dalam senarai A1(b).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 yang diterima.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F3 : Total gross income from hospital/lab services fees in the year of assessment (RM)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F3 (b) : Gross income from lab services fees</w:t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Rekod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perincian perkhidmatan pengujian makmal.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transaksi kewangan yang diterima</w:t>
            </w:r>
          </w:p>
        </w:tc>
      </w:tr>
      <w:tr>
        <w:trPr>
          <w:cantSplit w:val="0"/>
          <w:trHeight w:val="297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F4 : Endowment (including professorial chairs) (RM)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F4 (a) : Total amount of new endowments received in the year of assessment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Penyata kewangan akaun endowmen dari Bendahari.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Bukti perjanjian/surat sebagai endowmen perlu dikemukakan semasa penilaian.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Taksiran nilai aset yang diberikan sebagai endowmen oleh penilai bertauliah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Penyata kewangan bagi crowd funding yang diluluskan oleh institusi.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F4 : Endowment (including professorial chairs) (RM)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07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F4 (b) : Income/Dividens from existing endowment</w:t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Penyata kewangan dividen endowmen dari Bendahari.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F5 : Gifts/Donations (money, equipments, research materials, etc.) worth ≥ RM3,000 each (RM)</w:t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Bagi hadiah dalam bentuk wang tunai, penyata kewangan perlu dikemukakan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Bagi hadiah bukan dalam bentuk wang, nilai hadiah perlu dinyatakan samada di dalam dokumen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ATAU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melalui penaksiran luar.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penerimaan dana atau transaksi kewangan seperti resit, penyata kewangan atau bukti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Elektronik Fund Transfer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(EFT) untuk pembayaran terus kepada penyelidik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Surat pelantikan / pengiktirafan  bagi Recognition / Stewardship yang mempunyai nilai tajaan.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Bagi sumbangan bukan wang tunai seperti bahan penyelidikan, buku dan sebagainya bukti nilaian perlu dibuktikan dengan jelas.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kajian pasaran yang menunjukkan julat nilai atau harga hadiah/derma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6ff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gambar hadiah/derma yang diterima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F6 : Percentage of Operational Expenditure (OE) for R&amp;D development</w:t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Penyata bendahari yang menunjukkan pendapatan dan perbelanjaan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Surat/minit mesyuarat yang jelas menunjukkan peruntukan yang digunakan bagi tujuan tersebut.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G1 : Total number of staff sent abroad for research activities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bukti bagi staf akademik yang bercuti sabatikal/cuti penyelidikan/ kursus/latihan jangka pendek di luar negara.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kehadiran/lapor diri ke luar negara.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G2 : Participation in international inter-institution research related activities under MoA/MoU active agreement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G2 (a) : Total number of MoA/MoU signed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perjanjian MoA yang ditandatangani dan distem yang dilaksanakan pada tahun dinilai.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penurunan kuasa (sekiranya bukan ditandatangani oleh CEO/Presiden/Naib Canselor/Rektor)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Bagi dokumen perjanjian MoU, bukti aktiviti penyelidikan perlu dilampirkan. 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110">
            <w:pPr>
              <w:spacing w:after="160" w:line="27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Dokumen boleh digunasama untuk </w:t>
            </w: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Seksyen G4 (a).</w:t>
            </w:r>
          </w:p>
        </w:tc>
      </w:tr>
      <w:tr>
        <w:trPr>
          <w:cantSplit w:val="0"/>
          <w:trHeight w:val="3996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G2 : Participation in international inter-institution research related activities under MoA/MoU active agreement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G2 (b) : Total number of staff involved in joint research activities under MoA/MoU</w:t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projek aktiviti penyelidikan dianggotai oleh institusi/agensi antarabangsa yang menandatangani MoA/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MoU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. Contoh: Surat pelantikan sebagai ahli projek penyelidikan, bukti penerbitan bersama (co-authorship, kerjasama dalam penerbitan, penyeliaan, cadangan penyelidikan dll.)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G3 : Membership in international academic/professional bodies/associations/ NGOs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G3 (a) : Total number of staff as members in international academic/ professional bodies/associations/NGOs</w:t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Salinan sijil keahlian/kad keahlian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yang masih aktif pada tahun dinilai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; atau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Senarai keahlian yang diperakukan oleh Badan/Persatuan; atau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Senarai atas talian di laman sesawang Badan/Persatuan dan sebagainya.</w:t>
            </w:r>
          </w:p>
          <w:p w:rsidR="00000000" w:rsidDel="00000000" w:rsidP="00000000" w:rsidRDefault="00000000" w:rsidRPr="00000000" w14:paraId="0000011C">
            <w:pPr>
              <w:spacing w:line="27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yang diberikan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MESTI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menunjukkan keahlian aktif pada tahun yang dinilai.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Butiran pembuktian yang sama digunakan untuk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Seksyen G5 (a).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6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G3 : Membership in international academic/professional bodies/associations/ NGOs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G3 (b) : Total number of staff appointed as Committee Members in international/academic/professional bodies/ associations/NGOs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Surat pelantikan/Surat pengesahan; atau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Senarai atas talian di laman sesawang Badan/Persatuan dan sebagainya.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Bahan bukti perlu mempunyai maklumat tempoh pelantikan dan maklumat lain seperti yang dinyatakan dalam Masterlist.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yang diberikan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MESTI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menunjukkan keahlian aktif pada tahun yang dinilai.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Butiran pembuktian yang sama digunakan untuk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Seksyen G5 (b)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G4 : Participation in national inter-institution research related activities under MoA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G4 (b) : Total number of staff involved in joint research projects under MoA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perjanjian MoA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Surat pelantikan dan seumpamanya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G6 : Knowledge/Technology Diffusion Project/Assimilation (Social Innovation)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2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G6 (a) : Total number of new community-related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2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G6 (b) : Total number of communities receiving/benefiting the knowledge/technology diffusion projects</w:t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Laporan kemajuan/akhir projek yang menunjukkan penarafan bintang jaringan komuniti sekurang-kurangnya 3 bintang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Surat pembiayaan program yang menunjukkan pembiayaan bersama dengan pihak luar.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Surat kerjasama dengan agensi-agensi selain dari institusi dinilai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bahawa program telah menghasilkan perubahan yang positif dari segi pengetahuan/ kemahiran/ tingkah laku atau aspirasi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menunjukkan program menggerakkan sumber dan kepakaran daripada institusi yang dinilai.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Penarafan bintang perlu diperakukan oleh Pengarah/Ketua Jabatan.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jc w:val="both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76" w:lineRule="auto"/>
              <w:jc w:val="both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Dokumen boleh disediakan dalam bentuk sistem atas talian </w:t>
            </w:r>
            <w:r w:rsidDel="00000000" w:rsidR="00000000" w:rsidRPr="00000000">
              <w:rPr>
                <w:i w:val="1"/>
                <w:sz w:val="25"/>
                <w:szCs w:val="25"/>
                <w:rtl w:val="0"/>
              </w:rPr>
              <w:t xml:space="preserve">(online)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 yang digunapakai oleh institusi </w:t>
            </w: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ATAU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 salinan </w:t>
            </w:r>
            <w:r w:rsidDel="00000000" w:rsidR="00000000" w:rsidRPr="00000000">
              <w:rPr>
                <w:i w:val="1"/>
                <w:sz w:val="25"/>
                <w:szCs w:val="25"/>
                <w:rtl w:val="0"/>
              </w:rPr>
              <w:t xml:space="preserve">hardcopy/softcopy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 yang disimpan oleh institusi.</w:t>
            </w:r>
          </w:p>
          <w:p w:rsidR="00000000" w:rsidDel="00000000" w:rsidP="00000000" w:rsidRDefault="00000000" w:rsidRPr="00000000" w14:paraId="00000140">
            <w:pPr>
              <w:spacing w:line="276" w:lineRule="auto"/>
              <w:jc w:val="both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141">
            <w:pPr>
              <w:spacing w:after="160" w:line="276" w:lineRule="auto"/>
              <w:jc w:val="both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Dokumen sokongan boleh digunasama untuk </w:t>
            </w: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Seksyen G6 (a) dan G(b).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G7 : Joint research projects between institution assessed and Research Universities/Public Universities/Private Universities/industries/agencies in each project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Kertas cadangan projek yang menunjukkan penglibatan sekurang-kurangnya tiga (3) buah Universiti Penyelidikan/Universiti Awam/Universiti Swasta/Industri/Agensi dalam setiap projek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termasuk institusi yang dinilai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perjanjian di antara rakan kerjasama.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peruntukan kewangan dibuat untuk projek penyelidikan di institusi masing-masing.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G8 : Joint research projects between Research Universities (RUs) in each project</w:t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Kertas cadangan projek yang menunjukkan penglibatan sekurang-kurangnya tiga (3) buah Universiti Penyelidikan dalam setiap projek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termasuk institusi yang dinilai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Dokumen perjanjian di antara rakan kerjasama.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Bukti peruntukan kewangan dibuat untuk projek penyelidikan di institusi masing-masing.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H1 : Laboratory/Research facilities that are accreditated based on their core competencies</w:t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5241"/>
              </w:tabs>
              <w:spacing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II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Sijil akreditasi yang diiktiraf oleh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Standards Malaysia (SAMM)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atau Badan Akreditasi Antarabangsa sebagai contoh NATA dan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Australian/New Zealand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Sijil yang dikemukakan perlu menunjukkan tempoh sah laku pada tahun yang dinilai.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18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Section H2 : Library Facilities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5241"/>
              </w:tabs>
              <w:spacing w:before="120" w:line="276" w:lineRule="auto"/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MyRA I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Senarai tajuk buku/bahan multimedia daripada sistem Perpustakaan universiti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Capaian (URL) laman sesawang yang boleh memuat turun buku/ bahan yang dilanggan.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91" w:top="1191" w:left="1418" w:right="1418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785"/>
        <w:tab w:val="right" w:leader="none" w:pos="140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  <w:rtl w:val="0"/>
      </w:rPr>
      <w:t xml:space="preserve">Senarai Bahan Bukti MyRA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superscript"/>
        <w:rtl w:val="0"/>
      </w:rPr>
      <w:t xml:space="preserve">®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  <w:rtl w:val="0"/>
      </w:rPr>
      <w:t xml:space="preserve"> I &amp; II (Pindaan 2023)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  <w:rtl w:val="0"/>
      </w:rPr>
      <w:t xml:space="preserve">Senarai Bahan Bukti MyRA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superscript"/>
        <w:rtl w:val="0"/>
      </w:rPr>
      <w:t xml:space="preserve">®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  <w:rtl w:val="0"/>
      </w:rPr>
      <w:t xml:space="preserve"> I &amp; II (Pindaan 2023)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9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9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14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48">
    <w:lvl w:ilvl="0">
      <w:start w:val="0"/>
      <w:numFmt w:val="bullet"/>
      <w:lvlText w:val="-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371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84C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84CA0"/>
    <w:pPr>
      <w:spacing w:after="200" w:line="276" w:lineRule="auto"/>
      <w:ind w:left="720"/>
      <w:contextualSpacing w:val="1"/>
    </w:pPr>
  </w:style>
  <w:style w:type="table" w:styleId="TableGrid1" w:customStyle="1">
    <w:name w:val="Table Grid1"/>
    <w:basedOn w:val="TableNormal"/>
    <w:next w:val="TableGrid"/>
    <w:uiPriority w:val="59"/>
    <w:rsid w:val="00313435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F789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89F"/>
  </w:style>
  <w:style w:type="paragraph" w:styleId="Footer">
    <w:name w:val="footer"/>
    <w:basedOn w:val="Normal"/>
    <w:link w:val="FooterChar"/>
    <w:uiPriority w:val="99"/>
    <w:unhideWhenUsed w:val="1"/>
    <w:rsid w:val="001F789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89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zJ8idOBYRuQuCfBeTqzcZp7aQ==">CgMxLjAyCGguZ2pkZ3hzOAByITF4eWp0bGdKUGF5U1cyX04za0dIOVZGb1h3UTVqcmpDOA==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2023-12-07T11:17:00.0000000Z</dcterms:created>
  <dc:creator>MOE</dc:creator>
</cp:coreProperties>
</file>